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ascii="方正小标宋_GBK" w:hAnsi="Times New Roman" w:eastAsia="方正小标宋_GBK" w:cs="方正仿宋简体"/>
          <w:color w:val="000000"/>
          <w:sz w:val="36"/>
          <w:szCs w:val="36"/>
        </w:rPr>
      </w:pPr>
      <w:r>
        <w:rPr>
          <w:rFonts w:hint="eastAsia" w:ascii="方正小标宋_GBK" w:hAnsi="方正小标宋_GBK" w:eastAsia="方正小标宋_GBK" w:cs="方正小标宋_GBK"/>
          <w:color w:val="000000"/>
          <w:sz w:val="36"/>
          <w:szCs w:val="36"/>
        </w:rPr>
        <w:t>贵州省煤焦油产品质量监督抽查实施细则</w:t>
      </w:r>
    </w:p>
    <w:p>
      <w:pPr>
        <w:snapToGrid w:val="0"/>
        <w:spacing w:line="440" w:lineRule="exact"/>
        <w:ind w:firstLine="597" w:firstLineChars="199"/>
        <w:jc w:val="center"/>
        <w:rPr>
          <w:rFonts w:ascii="Times New Roman" w:hAnsi="Times New Roman" w:eastAsia="宋体" w:cs="Times New Roman"/>
          <w:sz w:val="30"/>
          <w:szCs w:val="30"/>
        </w:rPr>
      </w:pPr>
      <w:r>
        <w:rPr>
          <w:rFonts w:hint="eastAsia" w:ascii="楷体_GB2312" w:hAnsi="楷体_GB2312" w:eastAsia="楷体_GB2312" w:cs="楷体_GB2312"/>
          <w:sz w:val="30"/>
          <w:szCs w:val="30"/>
        </w:rPr>
        <w:t>（202</w:t>
      </w:r>
      <w:r>
        <w:rPr>
          <w:rFonts w:hint="eastAsia" w:ascii="楷体_GB2312" w:hAnsi="楷体_GB2312" w:eastAsia="楷体_GB2312" w:cs="楷体_GB2312"/>
          <w:sz w:val="30"/>
          <w:szCs w:val="30"/>
          <w:lang w:val="en-US" w:eastAsia="zh-CN"/>
        </w:rPr>
        <w:t>6</w:t>
      </w:r>
      <w:r>
        <w:rPr>
          <w:rFonts w:hint="eastAsia" w:ascii="楷体_GB2312" w:hAnsi="楷体_GB2312" w:eastAsia="楷体_GB2312" w:cs="楷体_GB2312"/>
          <w:sz w:val="30"/>
          <w:szCs w:val="30"/>
        </w:rPr>
        <w:t>年版）</w:t>
      </w:r>
    </w:p>
    <w:p>
      <w:pPr>
        <w:snapToGrid w:val="0"/>
        <w:spacing w:line="440" w:lineRule="exact"/>
        <w:ind w:firstLine="417" w:firstLineChars="199"/>
        <w:rPr>
          <w:rFonts w:hint="eastAsia" w:ascii="黑体" w:hAnsi="黑体" w:eastAsia="黑体" w:cs="黑体"/>
          <w:szCs w:val="21"/>
        </w:rPr>
      </w:pPr>
      <w:r>
        <w:rPr>
          <w:rFonts w:hint="eastAsia" w:ascii="黑体" w:hAnsi="黑体" w:eastAsia="黑体" w:cs="黑体"/>
          <w:szCs w:val="21"/>
        </w:rPr>
        <w:t>1 抽样方法</w:t>
      </w:r>
    </w:p>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以随机抽样的方式在被抽样生产者、销售者的待销产品中抽取。</w:t>
      </w:r>
    </w:p>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随机数一般可使用随机数表等方法产生。</w:t>
      </w:r>
    </w:p>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每批次抽取的样品数量不得少</w:t>
      </w:r>
      <w:bookmarkStart w:id="1" w:name="_GoBack"/>
      <w:bookmarkEnd w:id="1"/>
      <w:r>
        <w:rPr>
          <w:rFonts w:hint="eastAsia" w:ascii="Times New Roman" w:hAnsi="Times New Roman" w:eastAsia="宋体" w:cs="Times New Roman"/>
          <w:szCs w:val="21"/>
        </w:rPr>
        <w:t>于20L，将样品均分为两份，每份至少10L，其中一份为检验样品，另一份为备用样品。</w:t>
      </w:r>
    </w:p>
    <w:p>
      <w:pPr>
        <w:snapToGrid w:val="0"/>
        <w:spacing w:line="440" w:lineRule="exact"/>
        <w:ind w:firstLine="417" w:firstLineChars="199"/>
        <w:rPr>
          <w:rFonts w:hint="eastAsia" w:ascii="黑体" w:hAnsi="黑体" w:eastAsia="黑体" w:cs="黑体"/>
          <w:szCs w:val="21"/>
        </w:rPr>
      </w:pPr>
      <w:r>
        <w:rPr>
          <w:rFonts w:hint="eastAsia" w:ascii="黑体" w:hAnsi="黑体" w:eastAsia="黑体" w:cs="黑体"/>
          <w:szCs w:val="21"/>
        </w:rPr>
        <w:t>2 检验依据</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3718"/>
        <w:gridCol w:w="4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8" w:type="dxa"/>
            <w:vAlign w:val="center"/>
          </w:tcPr>
          <w:p>
            <w:pPr>
              <w:snapToGrid w:val="0"/>
              <w:spacing w:line="440" w:lineRule="exact"/>
              <w:jc w:val="center"/>
              <w:rPr>
                <w:rFonts w:hint="eastAsia" w:ascii="黑体" w:hAnsi="黑体" w:eastAsia="黑体" w:cs="黑体"/>
                <w:szCs w:val="21"/>
              </w:rPr>
            </w:pPr>
            <w:r>
              <w:rPr>
                <w:rFonts w:hint="eastAsia" w:ascii="黑体" w:hAnsi="黑体" w:eastAsia="黑体" w:cs="黑体"/>
                <w:szCs w:val="21"/>
              </w:rPr>
              <w:t>序号</w:t>
            </w:r>
          </w:p>
        </w:tc>
        <w:tc>
          <w:tcPr>
            <w:tcW w:w="3718" w:type="dxa"/>
            <w:vAlign w:val="center"/>
          </w:tcPr>
          <w:p>
            <w:pPr>
              <w:snapToGrid w:val="0"/>
              <w:spacing w:line="440" w:lineRule="exact"/>
              <w:ind w:firstLine="417" w:firstLineChars="199"/>
              <w:jc w:val="center"/>
              <w:rPr>
                <w:rFonts w:hint="eastAsia" w:ascii="黑体" w:hAnsi="黑体" w:eastAsia="黑体" w:cs="黑体"/>
                <w:szCs w:val="21"/>
              </w:rPr>
            </w:pPr>
            <w:r>
              <w:rPr>
                <w:rFonts w:hint="eastAsia" w:ascii="黑体" w:hAnsi="黑体" w:eastAsia="黑体" w:cs="黑体"/>
                <w:szCs w:val="21"/>
              </w:rPr>
              <w:t>检验项目</w:t>
            </w:r>
          </w:p>
        </w:tc>
        <w:tc>
          <w:tcPr>
            <w:tcW w:w="4195" w:type="dxa"/>
            <w:vAlign w:val="center"/>
          </w:tcPr>
          <w:p>
            <w:pPr>
              <w:snapToGrid w:val="0"/>
              <w:spacing w:line="440" w:lineRule="exact"/>
              <w:ind w:firstLine="417" w:firstLineChars="199"/>
              <w:jc w:val="center"/>
              <w:rPr>
                <w:rFonts w:hint="eastAsia" w:ascii="黑体" w:hAnsi="黑体" w:eastAsia="黑体" w:cs="黑体"/>
                <w:szCs w:val="21"/>
              </w:rPr>
            </w:pPr>
            <w:r>
              <w:rPr>
                <w:rFonts w:hint="eastAsia" w:ascii="黑体" w:hAnsi="黑体" w:eastAsia="黑体" w:cs="黑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28" w:type="dxa"/>
            <w:vAlign w:val="center"/>
          </w:tcPr>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1</w:t>
            </w:r>
          </w:p>
        </w:tc>
        <w:tc>
          <w:tcPr>
            <w:tcW w:w="3718" w:type="dxa"/>
            <w:vAlign w:val="center"/>
          </w:tcPr>
          <w:p>
            <w:pPr>
              <w:snapToGrid w:val="0"/>
              <w:spacing w:line="440" w:lineRule="exact"/>
              <w:ind w:firstLine="417" w:firstLineChars="199"/>
              <w:jc w:val="center"/>
              <w:rPr>
                <w:rFonts w:ascii="Times New Roman" w:hAnsi="Times New Roman" w:eastAsia="宋体" w:cs="Times New Roman"/>
                <w:szCs w:val="21"/>
              </w:rPr>
            </w:pPr>
            <w:r>
              <w:rPr>
                <w:rFonts w:hint="eastAsia" w:ascii="Times New Roman" w:hAnsi="Times New Roman" w:eastAsia="宋体" w:cs="Times New Roman"/>
                <w:szCs w:val="21"/>
              </w:rPr>
              <w:t>密度（ρ20）</w:t>
            </w:r>
          </w:p>
        </w:tc>
        <w:tc>
          <w:tcPr>
            <w:tcW w:w="4195" w:type="dxa"/>
            <w:vAlign w:val="center"/>
          </w:tcPr>
          <w:p>
            <w:pPr>
              <w:snapToGrid w:val="0"/>
              <w:spacing w:line="440" w:lineRule="exact"/>
              <w:ind w:firstLine="417" w:firstLineChars="199"/>
              <w:jc w:val="center"/>
              <w:rPr>
                <w:rFonts w:ascii="Times New Roman" w:hAnsi="Times New Roman" w:eastAsia="宋体" w:cs="Times New Roman"/>
                <w:szCs w:val="21"/>
              </w:rPr>
            </w:pPr>
            <w:r>
              <w:rPr>
                <w:rFonts w:hint="eastAsia" w:ascii="Times New Roman" w:hAnsi="Times New Roman" w:eastAsia="宋体" w:cs="Times New Roman"/>
                <w:szCs w:val="21"/>
              </w:rPr>
              <w:t>GB/T2281—2008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128" w:type="dxa"/>
            <w:vAlign w:val="center"/>
          </w:tcPr>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2</w:t>
            </w:r>
          </w:p>
        </w:tc>
        <w:tc>
          <w:tcPr>
            <w:tcW w:w="3718" w:type="dxa"/>
            <w:vAlign w:val="center"/>
          </w:tcPr>
          <w:p>
            <w:pPr>
              <w:snapToGrid w:val="0"/>
              <w:spacing w:line="440" w:lineRule="exact"/>
              <w:ind w:firstLine="417" w:firstLineChars="199"/>
              <w:jc w:val="center"/>
              <w:rPr>
                <w:rFonts w:ascii="Times New Roman" w:hAnsi="Times New Roman" w:eastAsia="宋体" w:cs="Times New Roman"/>
                <w:szCs w:val="21"/>
              </w:rPr>
            </w:pPr>
            <w:r>
              <w:rPr>
                <w:rFonts w:hint="eastAsia" w:ascii="Times New Roman" w:hAnsi="Times New Roman" w:eastAsia="宋体" w:cs="Times New Roman"/>
                <w:szCs w:val="21"/>
              </w:rPr>
              <w:t>黏度(E80)</w:t>
            </w:r>
          </w:p>
        </w:tc>
        <w:tc>
          <w:tcPr>
            <w:tcW w:w="4195" w:type="dxa"/>
            <w:vAlign w:val="center"/>
          </w:tcPr>
          <w:p>
            <w:pPr>
              <w:snapToGrid w:val="0"/>
              <w:spacing w:line="440" w:lineRule="exact"/>
              <w:ind w:firstLine="417" w:firstLineChars="199"/>
              <w:jc w:val="center"/>
              <w:rPr>
                <w:rFonts w:ascii="Times New Roman" w:hAnsi="Times New Roman" w:eastAsia="宋体" w:cs="Times New Roman"/>
                <w:szCs w:val="21"/>
              </w:rPr>
            </w:pPr>
            <w:r>
              <w:rPr>
                <w:rFonts w:hint="eastAsia" w:ascii="Times New Roman" w:hAnsi="Times New Roman" w:eastAsia="宋体" w:cs="Times New Roman"/>
                <w:szCs w:val="21"/>
              </w:rPr>
              <w:t>GB/T24209—2009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8" w:type="dxa"/>
            <w:vAlign w:val="center"/>
          </w:tcPr>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3</w:t>
            </w:r>
          </w:p>
        </w:tc>
        <w:tc>
          <w:tcPr>
            <w:tcW w:w="3718" w:type="dxa"/>
            <w:vAlign w:val="center"/>
          </w:tcPr>
          <w:p>
            <w:pPr>
              <w:snapToGrid w:val="0"/>
              <w:spacing w:line="440" w:lineRule="exact"/>
              <w:ind w:firstLine="417" w:firstLineChars="199"/>
              <w:jc w:val="center"/>
              <w:rPr>
                <w:rFonts w:ascii="Times New Roman" w:hAnsi="Times New Roman" w:eastAsia="宋体" w:cs="Times New Roman"/>
                <w:szCs w:val="21"/>
              </w:rPr>
            </w:pPr>
            <w:r>
              <w:rPr>
                <w:rFonts w:hint="eastAsia" w:ascii="Times New Roman" w:hAnsi="Times New Roman" w:eastAsia="宋体" w:cs="Times New Roman"/>
                <w:szCs w:val="21"/>
              </w:rPr>
              <w:t>萘含量（无水基）</w:t>
            </w:r>
          </w:p>
        </w:tc>
        <w:tc>
          <w:tcPr>
            <w:tcW w:w="4195" w:type="dxa"/>
            <w:vAlign w:val="center"/>
          </w:tcPr>
          <w:p>
            <w:pPr>
              <w:snapToGrid w:val="0"/>
              <w:spacing w:line="440" w:lineRule="exact"/>
              <w:ind w:firstLine="417" w:firstLineChars="199"/>
              <w:jc w:val="center"/>
              <w:rPr>
                <w:rFonts w:ascii="Times New Roman" w:hAnsi="Times New Roman" w:eastAsia="宋体" w:cs="Times New Roman"/>
                <w:szCs w:val="21"/>
              </w:rPr>
            </w:pPr>
            <w:r>
              <w:rPr>
                <w:rFonts w:hint="eastAsia" w:ascii="Times New Roman" w:hAnsi="Times New Roman" w:eastAsia="宋体" w:cs="Times New Roman"/>
                <w:szCs w:val="21"/>
              </w:rPr>
              <w:t>YB/T5078—2010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28" w:type="dxa"/>
            <w:vAlign w:val="center"/>
          </w:tcPr>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4</w:t>
            </w:r>
          </w:p>
        </w:tc>
        <w:tc>
          <w:tcPr>
            <w:tcW w:w="3718" w:type="dxa"/>
            <w:vAlign w:val="center"/>
          </w:tcPr>
          <w:p>
            <w:pPr>
              <w:snapToGrid w:val="0"/>
              <w:spacing w:line="440" w:lineRule="exact"/>
              <w:ind w:firstLine="417" w:firstLineChars="199"/>
              <w:jc w:val="center"/>
              <w:rPr>
                <w:rFonts w:ascii="Times New Roman" w:hAnsi="Times New Roman" w:eastAsia="宋体" w:cs="Times New Roman"/>
                <w:szCs w:val="21"/>
              </w:rPr>
            </w:pPr>
            <w:r>
              <w:rPr>
                <w:rFonts w:hint="eastAsia" w:ascii="Times New Roman" w:hAnsi="Times New Roman" w:eastAsia="宋体" w:cs="Times New Roman"/>
                <w:szCs w:val="21"/>
              </w:rPr>
              <w:t>甲苯不溶物（无水基）</w:t>
            </w:r>
          </w:p>
        </w:tc>
        <w:tc>
          <w:tcPr>
            <w:tcW w:w="4195" w:type="dxa"/>
            <w:vAlign w:val="center"/>
          </w:tcPr>
          <w:p>
            <w:pPr>
              <w:snapToGrid w:val="0"/>
              <w:spacing w:line="440" w:lineRule="exact"/>
              <w:ind w:firstLine="417" w:firstLineChars="199"/>
              <w:jc w:val="center"/>
              <w:rPr>
                <w:rFonts w:ascii="Times New Roman" w:hAnsi="Times New Roman" w:eastAsia="宋体" w:cs="Times New Roman"/>
                <w:szCs w:val="21"/>
              </w:rPr>
            </w:pPr>
            <w:r>
              <w:rPr>
                <w:rFonts w:hint="eastAsia" w:ascii="Times New Roman" w:hAnsi="Times New Roman" w:eastAsia="宋体" w:cs="Times New Roman"/>
                <w:szCs w:val="21"/>
              </w:rPr>
              <w:t>GB/T2292—2018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28" w:type="dxa"/>
            <w:vAlign w:val="center"/>
          </w:tcPr>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5</w:t>
            </w:r>
          </w:p>
        </w:tc>
        <w:tc>
          <w:tcPr>
            <w:tcW w:w="3718" w:type="dxa"/>
            <w:vAlign w:val="center"/>
          </w:tcPr>
          <w:p>
            <w:pPr>
              <w:snapToGrid w:val="0"/>
              <w:spacing w:line="440" w:lineRule="exact"/>
              <w:ind w:firstLine="417" w:firstLineChars="199"/>
              <w:jc w:val="center"/>
              <w:rPr>
                <w:rFonts w:ascii="Times New Roman" w:hAnsi="Times New Roman" w:eastAsia="宋体" w:cs="Times New Roman"/>
                <w:szCs w:val="21"/>
              </w:rPr>
            </w:pPr>
            <w:r>
              <w:rPr>
                <w:rFonts w:hint="eastAsia" w:ascii="Times New Roman" w:hAnsi="Times New Roman" w:eastAsia="宋体" w:cs="Times New Roman"/>
                <w:szCs w:val="21"/>
              </w:rPr>
              <w:t>灰分</w:t>
            </w:r>
          </w:p>
        </w:tc>
        <w:tc>
          <w:tcPr>
            <w:tcW w:w="4195" w:type="dxa"/>
            <w:vAlign w:val="center"/>
          </w:tcPr>
          <w:p>
            <w:pPr>
              <w:snapToGrid w:val="0"/>
              <w:spacing w:line="440" w:lineRule="exact"/>
              <w:ind w:firstLine="417" w:firstLineChars="199"/>
              <w:jc w:val="center"/>
              <w:rPr>
                <w:rFonts w:ascii="Times New Roman" w:hAnsi="Times New Roman" w:eastAsia="宋体" w:cs="Times New Roman"/>
                <w:szCs w:val="21"/>
              </w:rPr>
            </w:pPr>
            <w:r>
              <w:rPr>
                <w:rFonts w:hint="eastAsia" w:ascii="Times New Roman" w:hAnsi="Times New Roman" w:eastAsia="宋体" w:cs="Times New Roman"/>
                <w:szCs w:val="21"/>
              </w:rPr>
              <w:t>GB/T2295—2008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28" w:type="dxa"/>
            <w:vAlign w:val="center"/>
          </w:tcPr>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6</w:t>
            </w:r>
          </w:p>
        </w:tc>
        <w:tc>
          <w:tcPr>
            <w:tcW w:w="3718" w:type="dxa"/>
            <w:vAlign w:val="center"/>
          </w:tcPr>
          <w:p>
            <w:pPr>
              <w:snapToGrid w:val="0"/>
              <w:spacing w:line="440" w:lineRule="exact"/>
              <w:ind w:firstLine="417" w:firstLineChars="199"/>
              <w:jc w:val="center"/>
              <w:rPr>
                <w:rFonts w:ascii="Times New Roman" w:hAnsi="Times New Roman" w:eastAsia="宋体" w:cs="Times New Roman"/>
                <w:szCs w:val="21"/>
              </w:rPr>
            </w:pPr>
            <w:r>
              <w:rPr>
                <w:rFonts w:hint="eastAsia" w:ascii="Times New Roman" w:hAnsi="Times New Roman" w:eastAsia="宋体" w:cs="Times New Roman"/>
                <w:szCs w:val="21"/>
              </w:rPr>
              <w:t>水分</w:t>
            </w:r>
          </w:p>
        </w:tc>
        <w:tc>
          <w:tcPr>
            <w:tcW w:w="4195" w:type="dxa"/>
            <w:vAlign w:val="center"/>
          </w:tcPr>
          <w:p>
            <w:pPr>
              <w:snapToGrid w:val="0"/>
              <w:spacing w:line="440" w:lineRule="exact"/>
              <w:ind w:firstLine="417" w:firstLineChars="199"/>
              <w:jc w:val="center"/>
              <w:rPr>
                <w:rFonts w:ascii="Times New Roman" w:hAnsi="Times New Roman" w:eastAsia="宋体" w:cs="Times New Roman"/>
                <w:szCs w:val="21"/>
              </w:rPr>
            </w:pPr>
            <w:r>
              <w:rPr>
                <w:rFonts w:hint="eastAsia" w:ascii="Times New Roman" w:hAnsi="Times New Roman" w:eastAsia="宋体" w:cs="Times New Roman"/>
                <w:szCs w:val="21"/>
              </w:rPr>
              <w:t>GB/T2288—2008</w:t>
            </w:r>
          </w:p>
        </w:tc>
      </w:tr>
    </w:tbl>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执行企业标准、团体标准、地方标准的产品，检验项目参照上述内容执行。</w:t>
      </w:r>
    </w:p>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凡是注日期的文件，其随后所有的修改单（不包括勘误的内容）或修订版不适用于本细则。凡是不注日期的文件，其最新版本适用于本细则。</w:t>
      </w:r>
    </w:p>
    <w:p>
      <w:pPr>
        <w:snapToGrid w:val="0"/>
        <w:spacing w:line="440" w:lineRule="exact"/>
        <w:ind w:firstLine="417" w:firstLineChars="199"/>
        <w:rPr>
          <w:rFonts w:hint="eastAsia" w:ascii="黑体" w:hAnsi="黑体" w:eastAsia="黑体" w:cs="黑体"/>
          <w:szCs w:val="21"/>
        </w:rPr>
      </w:pPr>
      <w:r>
        <w:rPr>
          <w:rFonts w:hint="eastAsia" w:ascii="黑体" w:hAnsi="黑体" w:eastAsia="黑体" w:cs="黑体"/>
          <w:szCs w:val="21"/>
        </w:rPr>
        <w:t>3 判定规则</w:t>
      </w:r>
    </w:p>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3.1依据标准</w:t>
      </w:r>
    </w:p>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YB/T 5075-2010 《煤焦油》</w:t>
      </w:r>
    </w:p>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 xml:space="preserve"> 现行有效的企业标准、团体标准、地方标准及产品明示质量要求</w:t>
      </w:r>
    </w:p>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3.2判定原则</w:t>
      </w:r>
    </w:p>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Times New Roman" w:hAnsi="Times New Roman" w:eastAsia="宋体" w:cs="Times New Roman"/>
          <w:szCs w:val="21"/>
        </w:rPr>
      </w:pPr>
      <w:r>
        <w:rPr>
          <w:rFonts w:hint="eastAsia" w:ascii="Times New Roman" w:hAnsi="Times New Roman" w:eastAsia="宋体" w:cs="Times New Roman"/>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rFonts w:hint="eastAsia" w:ascii="Times New Roman" w:hAnsi="Times New Roman" w:eastAsia="宋体" w:cs="Times New Roman"/>
          <w:szCs w:val="21"/>
        </w:rPr>
        <w:t>若被检产品明示的质量要求缺少本细则中检验项目依据的推荐性标准</w:t>
      </w:r>
      <w:r>
        <w:rPr>
          <w:color w:val="000000"/>
          <w:szCs w:val="21"/>
        </w:rPr>
        <w:t>要求时，该项目不参与判定。</w:t>
      </w:r>
    </w:p>
    <w:p>
      <w:pPr>
        <w:spacing w:line="440" w:lineRule="exact"/>
        <w:rPr>
          <w:rFonts w:eastAsia="黑体"/>
          <w:color w:val="000000"/>
          <w:szCs w:val="21"/>
        </w:rPr>
      </w:pPr>
      <w:r>
        <w:rPr>
          <w:rFonts w:hint="eastAsia" w:ascii="黑体" w:hAnsi="黑体" w:eastAsia="黑体" w:cs="黑体"/>
          <w:color w:val="000000"/>
          <w:szCs w:val="21"/>
        </w:rPr>
        <w:t>4</w:t>
      </w:r>
      <w:r>
        <w:rPr>
          <w:rFonts w:hint="eastAsia" w:eastAsia="黑体"/>
          <w:color w:val="000000"/>
          <w:szCs w:val="21"/>
        </w:rPr>
        <w:t xml:space="preserve"> 附则</w:t>
      </w:r>
    </w:p>
    <w:p>
      <w:pPr>
        <w:snapToGrid w:val="0"/>
        <w:spacing w:line="440" w:lineRule="exact"/>
        <w:ind w:firstLine="417" w:firstLineChars="199"/>
        <w:rPr>
          <w:rFonts w:hint="default" w:ascii="Times New Roman" w:hAnsi="Times New Roman" w:cs="Times New Roman" w:eastAsiaTheme="minorEastAsia"/>
          <w:color w:val="000000"/>
          <w:szCs w:val="21"/>
        </w:rPr>
      </w:pPr>
      <w:bookmarkStart w:id="0" w:name="OLE_LINK1"/>
      <w:r>
        <w:rPr>
          <w:rFonts w:hint="default" w:ascii="Times New Roman" w:hAnsi="Times New Roman" w:cs="Times New Roman" w:eastAsiaTheme="minorEastAsia"/>
          <w:color w:val="000000"/>
          <w:szCs w:val="21"/>
        </w:rPr>
        <w:t>本细则代替《</w:t>
      </w:r>
      <w:r>
        <w:rPr>
          <w:rFonts w:hint="default" w:ascii="Times New Roman" w:hAnsi="Times New Roman" w:cs="Times New Roman"/>
        </w:rPr>
        <w:t>贵州省市场监管局关于发布2025年焦炭等72种产品</w:t>
      </w:r>
      <w:r>
        <w:rPr>
          <w:rFonts w:hint="eastAsia" w:ascii="Times New Roman" w:hAnsi="Times New Roman" w:cs="Times New Roman"/>
          <w:lang w:eastAsia="zh-CN"/>
        </w:rPr>
        <w:t>贵州省产品</w:t>
      </w:r>
      <w:r>
        <w:rPr>
          <w:rFonts w:hint="default" w:ascii="Times New Roman" w:hAnsi="Times New Roman" w:cs="Times New Roman"/>
        </w:rPr>
        <w:t>质量监督抽查实施细则的</w:t>
      </w:r>
      <w:r>
        <w:rPr>
          <w:rFonts w:hint="eastAsia" w:ascii="Times New Roman" w:hAnsi="Times New Roman" w:cs="Times New Roman"/>
          <w:lang w:eastAsia="zh-CN"/>
        </w:rPr>
        <w:t>通</w:t>
      </w:r>
      <w:r>
        <w:rPr>
          <w:rFonts w:hint="default" w:ascii="Times New Roman" w:hAnsi="Times New Roman" w:cs="Times New Roman"/>
        </w:rPr>
        <w:t>告</w:t>
      </w:r>
      <w:r>
        <w:rPr>
          <w:rFonts w:hint="default" w:ascii="Times New Roman" w:hAnsi="Times New Roman" w:cs="Times New Roman" w:eastAsiaTheme="minorEastAsia"/>
          <w:color w:val="000000"/>
          <w:szCs w:val="21"/>
        </w:rPr>
        <w:t>》</w:t>
      </w:r>
      <w:r>
        <w:rPr>
          <w:rFonts w:hint="default" w:ascii="Times New Roman" w:hAnsi="Times New Roman" w:cs="Times New Roman" w:eastAsiaTheme="minorEastAsia"/>
          <w:szCs w:val="21"/>
        </w:rPr>
        <w:t>中</w:t>
      </w:r>
      <w:r>
        <w:rPr>
          <w:rFonts w:hint="default" w:ascii="Times New Roman" w:hAnsi="Times New Roman" w:cs="Times New Roman" w:eastAsiaTheme="minorEastAsia"/>
          <w:color w:val="000000"/>
          <w:szCs w:val="21"/>
        </w:rPr>
        <w:t>的《贵州省煤焦油产品质量监督抽查实</w:t>
      </w:r>
      <w:r>
        <w:rPr>
          <w:rFonts w:hint="default" w:ascii="Times New Roman" w:hAnsi="Times New Roman" w:cs="Times New Roman" w:eastAsiaTheme="minorEastAsia"/>
          <w:szCs w:val="21"/>
        </w:rPr>
        <w:t>施细则（20</w:t>
      </w:r>
      <w:r>
        <w:rPr>
          <w:rFonts w:hint="default" w:ascii="Times New Roman" w:hAnsi="Times New Roman" w:cs="Times New Roman" w:eastAsiaTheme="minorEastAsia"/>
          <w:szCs w:val="21"/>
          <w:lang w:val="en-US" w:eastAsia="zh-CN"/>
        </w:rPr>
        <w:t>2</w:t>
      </w:r>
      <w:r>
        <w:rPr>
          <w:rFonts w:hint="eastAsia" w:ascii="Times New Roman" w:hAnsi="Times New Roman" w:cs="Times New Roman"/>
          <w:szCs w:val="21"/>
          <w:lang w:val="en-US" w:eastAsia="zh-CN"/>
        </w:rPr>
        <w:t>5</w:t>
      </w:r>
      <w:r>
        <w:rPr>
          <w:rFonts w:hint="default" w:ascii="Times New Roman" w:hAnsi="Times New Roman" w:cs="Times New Roman" w:eastAsiaTheme="minorEastAsia"/>
          <w:szCs w:val="21"/>
        </w:rPr>
        <w:t>年版）》。</w:t>
      </w:r>
    </w:p>
    <w:bookmarkEnd w:id="0"/>
    <w:p>
      <w:pPr>
        <w:rPr>
          <w:sz w:val="32"/>
          <w:szCs w:val="32"/>
        </w:rPr>
      </w:pPr>
    </w:p>
    <w:p>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0NjNhZDUxOWJhNTRiMTMyZmNkYTVjMDA0Nzg5MDUifQ=="/>
  </w:docVars>
  <w:rsids>
    <w:rsidRoot w:val="00A53B1E"/>
    <w:rsid w:val="001D3A1E"/>
    <w:rsid w:val="004A0ED3"/>
    <w:rsid w:val="00506285"/>
    <w:rsid w:val="00644E76"/>
    <w:rsid w:val="007934EE"/>
    <w:rsid w:val="009A7521"/>
    <w:rsid w:val="009F3C11"/>
    <w:rsid w:val="00A232F8"/>
    <w:rsid w:val="00A53B1E"/>
    <w:rsid w:val="00D156D8"/>
    <w:rsid w:val="0CAD4086"/>
    <w:rsid w:val="106C0BCA"/>
    <w:rsid w:val="208D058F"/>
    <w:rsid w:val="688F6692"/>
    <w:rsid w:val="715D0990"/>
    <w:rsid w:val="76102CAA"/>
    <w:rsid w:val="7BEE33FF"/>
    <w:rsid w:val="9F9FBE0E"/>
    <w:rsid w:val="9FC73FD3"/>
    <w:rsid w:val="DFF3D766"/>
    <w:rsid w:val="FD9EC265"/>
    <w:rsid w:val="FDFF3687"/>
    <w:rsid w:val="FFEFB732"/>
    <w:rsid w:val="FFFFA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716</Words>
  <Characters>814</Characters>
  <Lines>6</Lines>
  <Paragraphs>1</Paragraphs>
  <TotalTime>0</TotalTime>
  <ScaleCrop>false</ScaleCrop>
  <LinksUpToDate>false</LinksUpToDate>
  <CharactersWithSpaces>821</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2023-08-02T11:44:00Z</dcterms:created>
  <dc:creator>PC</dc:creator>
  <cp:lastModifiedBy>ysgz</cp:lastModifiedBy>
  <cp:lastPrinted>2025-04-03T06:53:00Z</cp:lastPrinted>
  <dcterms:modified xsi:type="dcterms:W3CDTF">2026-04-21T11:22:12Z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A84CCCEF4B4D431CBD95EC1262203AAD_13</vt:lpwstr>
  </property>
  <property fmtid="{D5CDD505-2E9C-101B-9397-08002B2CF9AE}" pid="4" name="KSOTemplateDocerSaveRecord">
    <vt:lpwstr>eyJoZGlkIjoiMDRkMjU4MTZkYTgxYWE2NzNlODc4MGU5MDk3ZDQwZDEiLCJ1c2VySWQiOiIyNDQ5Mjk3MDIifQ==</vt:lpwstr>
  </property>
</Properties>
</file>